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DC6544" w14:textId="4F5BF1C4" w:rsidR="002A302D" w:rsidRPr="00B63DFF" w:rsidRDefault="002A302D" w:rsidP="002A302D">
      <w:pPr>
        <w:spacing w:line="276" w:lineRule="auto"/>
        <w:jc w:val="center"/>
        <w:rPr>
          <w:rFonts w:ascii="Arial Narrow" w:eastAsiaTheme="minorEastAsia" w:hAnsi="Arial Narrow"/>
          <w:sz w:val="56"/>
          <w:szCs w:val="56"/>
          <w:u w:val="single"/>
        </w:rPr>
      </w:pPr>
      <w:bookmarkStart w:id="0" w:name="_GoBack"/>
      <w:bookmarkEnd w:id="0"/>
      <w:r w:rsidRPr="00B63DFF">
        <w:rPr>
          <w:rFonts w:ascii="Arial Narrow" w:eastAsiaTheme="minorEastAsia" w:hAnsi="Arial Narrow"/>
          <w:sz w:val="56"/>
          <w:szCs w:val="56"/>
          <w:u w:val="single"/>
        </w:rPr>
        <w:t xml:space="preserve">Kindergarten </w:t>
      </w:r>
      <w:r w:rsidR="006619C3">
        <w:rPr>
          <w:rFonts w:ascii="Arial Narrow" w:eastAsiaTheme="minorEastAsia" w:hAnsi="Arial Narrow"/>
          <w:sz w:val="56"/>
          <w:szCs w:val="56"/>
          <w:u w:val="single"/>
        </w:rPr>
        <w:t>Hohenried</w:t>
      </w:r>
      <w:r w:rsidRPr="00B63DFF">
        <w:rPr>
          <w:rFonts w:ascii="Arial Narrow" w:eastAsiaTheme="minorEastAsia" w:hAnsi="Arial Narrow"/>
          <w:sz w:val="56"/>
          <w:szCs w:val="56"/>
          <w:u w:val="single"/>
        </w:rPr>
        <w:t xml:space="preserve">   </w:t>
      </w:r>
    </w:p>
    <w:p w14:paraId="21258B71" w14:textId="77777777" w:rsidR="002A302D" w:rsidRPr="00B63DFF" w:rsidRDefault="002A302D" w:rsidP="002A302D">
      <w:pPr>
        <w:spacing w:line="240" w:lineRule="auto"/>
        <w:ind w:left="2124" w:hanging="2124"/>
        <w:rPr>
          <w:rFonts w:ascii="Arial Narrow" w:eastAsiaTheme="minorEastAsia" w:hAnsi="Arial Narrow"/>
        </w:rPr>
      </w:pPr>
      <w:r w:rsidRPr="00B63DFF">
        <w:rPr>
          <w:rFonts w:ascii="Arial Narrow" w:eastAsiaTheme="minorEastAsia" w:hAnsi="Arial Narrow"/>
        </w:rPr>
        <w:t>Obere Hauptstraße 4</w:t>
      </w:r>
      <w:r w:rsidRPr="00B63DFF">
        <w:rPr>
          <w:rFonts w:ascii="Arial Narrow" w:eastAsiaTheme="minorEastAsia" w:hAnsi="Arial Narrow"/>
        </w:rPr>
        <w:tab/>
      </w:r>
      <w:r w:rsidRPr="00B63DFF">
        <w:rPr>
          <w:rFonts w:ascii="Arial Narrow" w:eastAsiaTheme="minorEastAsia" w:hAnsi="Arial Narrow"/>
        </w:rPr>
        <w:tab/>
        <w:t>86564 Brunnen/Hohenried</w:t>
      </w:r>
      <w:r w:rsidRPr="00B63DFF">
        <w:rPr>
          <w:rFonts w:ascii="Arial Narrow" w:eastAsiaTheme="minorEastAsia" w:hAnsi="Arial Narrow"/>
        </w:rPr>
        <w:tab/>
      </w:r>
      <w:r w:rsidRPr="00B63DFF">
        <w:rPr>
          <w:rFonts w:ascii="Arial Narrow" w:eastAsiaTheme="minorEastAsia" w:hAnsi="Arial Narrow"/>
        </w:rPr>
        <w:tab/>
      </w:r>
      <w:r w:rsidRPr="00B63DFF">
        <w:rPr>
          <w:rFonts w:ascii="Arial Narrow" w:eastAsiaTheme="minorEastAsia" w:hAnsi="Arial Narrow"/>
        </w:rPr>
        <w:tab/>
        <w:t xml:space="preserve">Tel.  08454/970 59      </w:t>
      </w:r>
      <w:r>
        <w:rPr>
          <w:rFonts w:ascii="Arial Narrow" w:eastAsiaTheme="minorEastAsia" w:hAnsi="Arial Narrow"/>
        </w:rPr>
        <w:t xml:space="preserve">                    </w:t>
      </w:r>
      <w:r w:rsidRPr="00B63DFF">
        <w:rPr>
          <w:rFonts w:ascii="Arial Narrow" w:eastAsiaTheme="minorEastAsia" w:hAnsi="Arial Narrow"/>
        </w:rPr>
        <w:t>E-Mail: kigahohenried@gemeindebrunnen.de</w:t>
      </w:r>
    </w:p>
    <w:p w14:paraId="38632832" w14:textId="77777777" w:rsidR="002A302D" w:rsidRDefault="002A302D" w:rsidP="002A302D">
      <w:pPr>
        <w:rPr>
          <w:rFonts w:ascii="Arial Narrow" w:hAnsi="Arial Narrow"/>
          <w:sz w:val="24"/>
          <w:szCs w:val="24"/>
        </w:rPr>
      </w:pPr>
    </w:p>
    <w:p w14:paraId="4F09DE34" w14:textId="77777777" w:rsidR="002A302D" w:rsidRPr="00C34370" w:rsidRDefault="002A302D" w:rsidP="002A302D">
      <w:pPr>
        <w:rPr>
          <w:rFonts w:ascii="Arial Narrow" w:hAnsi="Arial Narrow"/>
          <w:sz w:val="32"/>
          <w:szCs w:val="32"/>
          <w:u w:val="single"/>
        </w:rPr>
      </w:pPr>
      <w:r w:rsidRPr="00C34370">
        <w:rPr>
          <w:rFonts w:ascii="Arial Narrow" w:hAnsi="Arial Narrow"/>
          <w:sz w:val="32"/>
          <w:szCs w:val="32"/>
          <w:u w:val="single"/>
        </w:rPr>
        <w:t>Neuregelung des § 34 Abs. 10a Infektionsschutzgesetz (IfSG)</w:t>
      </w:r>
    </w:p>
    <w:p w14:paraId="489E5B24" w14:textId="77777777" w:rsidR="002A302D" w:rsidRDefault="002A302D" w:rsidP="002A302D">
      <w:pPr>
        <w:rPr>
          <w:rFonts w:ascii="Arial Narrow" w:hAnsi="Arial Narrow"/>
          <w:sz w:val="28"/>
          <w:szCs w:val="28"/>
        </w:rPr>
      </w:pPr>
    </w:p>
    <w:p w14:paraId="7E1B3D48" w14:textId="77777777" w:rsidR="002A302D" w:rsidRPr="00B63DFF" w:rsidRDefault="002A302D" w:rsidP="002A302D">
      <w:pPr>
        <w:rPr>
          <w:rFonts w:ascii="Arial Narrow" w:hAnsi="Arial Narrow"/>
          <w:sz w:val="26"/>
          <w:szCs w:val="26"/>
        </w:rPr>
      </w:pPr>
      <w:r w:rsidRPr="00B63DFF">
        <w:rPr>
          <w:rFonts w:ascii="Arial Narrow" w:hAnsi="Arial Narrow"/>
          <w:sz w:val="26"/>
          <w:szCs w:val="26"/>
        </w:rPr>
        <w:t>Sehr geehrte Eltern,</w:t>
      </w:r>
    </w:p>
    <w:p w14:paraId="760ADEC0" w14:textId="77777777" w:rsidR="002A302D" w:rsidRPr="00B63DFF" w:rsidRDefault="002A302D" w:rsidP="002A302D">
      <w:pPr>
        <w:spacing w:line="276" w:lineRule="auto"/>
        <w:rPr>
          <w:rFonts w:ascii="Arial Narrow" w:hAnsi="Arial Narrow"/>
          <w:sz w:val="26"/>
          <w:szCs w:val="26"/>
        </w:rPr>
      </w:pPr>
      <w:r w:rsidRPr="00B63DFF">
        <w:rPr>
          <w:rFonts w:ascii="Arial Narrow" w:hAnsi="Arial Narrow"/>
          <w:sz w:val="26"/>
          <w:szCs w:val="26"/>
        </w:rPr>
        <w:t xml:space="preserve">nach dem Infektionsschutzgesetz haben Sie </w:t>
      </w:r>
      <w:r w:rsidRPr="00B63DFF">
        <w:rPr>
          <w:rFonts w:ascii="Arial Narrow" w:hAnsi="Arial Narrow"/>
          <w:b/>
          <w:bCs/>
          <w:sz w:val="26"/>
          <w:szCs w:val="26"/>
        </w:rPr>
        <w:t>einen Nachweis darüber vorzulegen, dass eine ärztliche Beratung in Bezug auf einen vollständigen, altersgemäßen, nach den Empfehlungen der Ständigen Impfkommission (STIKO) ausreichenden Impfschutz des Kindes erfolgt ist</w:t>
      </w:r>
      <w:r w:rsidRPr="00B63DFF">
        <w:rPr>
          <w:rFonts w:ascii="Arial Narrow" w:hAnsi="Arial Narrow"/>
          <w:sz w:val="26"/>
          <w:szCs w:val="26"/>
        </w:rPr>
        <w:t xml:space="preserve">. Die Beratung muss zeitnah erfolgt sein. </w:t>
      </w:r>
    </w:p>
    <w:p w14:paraId="1A1065A9" w14:textId="77777777" w:rsidR="002A302D" w:rsidRDefault="002A302D" w:rsidP="002A302D">
      <w:pPr>
        <w:spacing w:line="276" w:lineRule="auto"/>
        <w:rPr>
          <w:rFonts w:ascii="Arial Narrow" w:hAnsi="Arial Narrow"/>
          <w:sz w:val="26"/>
          <w:szCs w:val="26"/>
        </w:rPr>
      </w:pPr>
      <w:r w:rsidRPr="00B63DFF">
        <w:rPr>
          <w:rFonts w:ascii="Arial Narrow" w:hAnsi="Arial Narrow"/>
          <w:sz w:val="26"/>
          <w:szCs w:val="26"/>
        </w:rPr>
        <w:t xml:space="preserve">Wir regen an, dass Sie in dem gelben Untersuchungsheft nachsehen, ob eine Früherkennungsuntersuchung für Ihr Kind ansteht, die Sie dann durchführen lassen. Denn diese Untersuchungen beinhalten zugleich – für Sie kostenfrei – die erforderliche ärztliche Beratung zum Impfschutz. Wenn Sie die Früherkennungsuntersuchung haben durchführen lassen, können Sie das gelbe Untersuchungsheft als Nachweis verwenden, wenn er Eintragungen von durchgeführten Schutzimpfungen enthält. </w:t>
      </w:r>
    </w:p>
    <w:p w14:paraId="0218CC41" w14:textId="77777777" w:rsidR="002A302D" w:rsidRDefault="002A302D" w:rsidP="002A302D">
      <w:pPr>
        <w:spacing w:line="276" w:lineRule="auto"/>
        <w:rPr>
          <w:rFonts w:ascii="Arial Narrow" w:hAnsi="Arial Narrow"/>
          <w:sz w:val="26"/>
          <w:szCs w:val="26"/>
        </w:rPr>
      </w:pPr>
      <w:r w:rsidRPr="00B63DFF">
        <w:rPr>
          <w:rFonts w:ascii="Arial Narrow" w:hAnsi="Arial Narrow"/>
          <w:sz w:val="26"/>
          <w:szCs w:val="26"/>
        </w:rPr>
        <w:t xml:space="preserve">Die Entscheidung über die Durchführung von Schutzimpfungen liegt natürlich bei Ihnen. Wir bitten aber zu bedenken, dass Sie mit Ihrer Entscheidung für den Impfschutz sowohl die Gesundheit Ihres Kindes als auch die Gesundheit andrer schutzbedürftiger Kinder in der Einrichtung schützen. Denn es kann vorkommen, dass wir in der Einrichtung auch Kinder haben, deren Immunsystem geschwächt ist oder die aus anderen medizinischen Gründen nicht geimpft werden dürfen und die deshalb darauf angewiesen sind, dass in ihrem Umfeld keine durch Impfung vermeidbaren Infektionskrankheiten auftreten. Zudem haben wir als Kindertageseinrichtung ein Interesse daran, dass es in der Einrichtung nicht zu Ausbrüchen von Krankheiten kommt, die zu einer vorübergehenden Schließung der Einrichtung führen können. </w:t>
      </w:r>
    </w:p>
    <w:p w14:paraId="0C609483" w14:textId="77777777" w:rsidR="002A302D" w:rsidRDefault="002A302D" w:rsidP="002A302D">
      <w:pPr>
        <w:spacing w:line="276" w:lineRule="auto"/>
        <w:rPr>
          <w:rFonts w:ascii="Arial Narrow" w:hAnsi="Arial Narrow"/>
          <w:sz w:val="26"/>
          <w:szCs w:val="26"/>
        </w:rPr>
      </w:pPr>
      <w:r w:rsidRPr="00B63DFF">
        <w:rPr>
          <w:rFonts w:ascii="Arial Narrow" w:hAnsi="Arial Narrow"/>
          <w:sz w:val="26"/>
          <w:szCs w:val="26"/>
        </w:rPr>
        <w:t xml:space="preserve">Das Gesundheitsamt ist beim Auftreten von Masern in der Einrichtung auch befugt, Kindern ohne entsprechenden Impf- und Immunschutz den Besuch der Einrichtung vorübergehend zu untersagen, um die Ausbreitung der Krankheit zu verhindern. Auch bei andren durch Impfung vermeidbaren Erkrankungen kann es sein, dass Kinder, die keinen Impfschutz vorweisen und sich angesteckt haben können, nach Anordnungen des Gesundheitsamtes die Einrichtung längere Zeit nicht besuchen dürfen. </w:t>
      </w:r>
    </w:p>
    <w:p w14:paraId="702E1039" w14:textId="77777777" w:rsidR="002A302D" w:rsidRDefault="002A302D" w:rsidP="002A302D">
      <w:pPr>
        <w:spacing w:line="276" w:lineRule="auto"/>
        <w:rPr>
          <w:rFonts w:ascii="Arial Narrow" w:hAnsi="Arial Narrow"/>
          <w:sz w:val="26"/>
          <w:szCs w:val="26"/>
        </w:rPr>
      </w:pPr>
      <w:r w:rsidRPr="00B63DFF">
        <w:rPr>
          <w:rFonts w:ascii="Arial Narrow" w:hAnsi="Arial Narrow"/>
          <w:sz w:val="26"/>
          <w:szCs w:val="26"/>
        </w:rPr>
        <w:t xml:space="preserve">Gerade in Gemeinschaftseinrichtungen ist das Infektionsrisiko für übertragbare Krankheiten durch die engen Kontakte erhöht. Daher ist der bevorstehende Eintritt in eine Kindertageseinrichtung ein guter Zeitpunkt, sich erneut mit dem Thema Impfungen auseinanderzusetzten und den Impfstatus zu überprüfen. </w:t>
      </w:r>
    </w:p>
    <w:p w14:paraId="3231591A" w14:textId="77777777" w:rsidR="002A302D" w:rsidRDefault="002A302D" w:rsidP="002A302D">
      <w:pPr>
        <w:spacing w:line="276" w:lineRule="auto"/>
        <w:rPr>
          <w:rFonts w:ascii="Arial Narrow" w:hAnsi="Arial Narrow"/>
          <w:b/>
          <w:bCs/>
          <w:sz w:val="26"/>
          <w:szCs w:val="26"/>
        </w:rPr>
      </w:pPr>
      <w:r w:rsidRPr="00B63DFF">
        <w:rPr>
          <w:rFonts w:ascii="Arial Narrow" w:hAnsi="Arial Narrow"/>
          <w:b/>
          <w:bCs/>
          <w:sz w:val="26"/>
          <w:szCs w:val="26"/>
        </w:rPr>
        <w:lastRenderedPageBreak/>
        <w:t>Wenn der erforderliche Nachweis einer zeitnah erfolgten ärztlichen Impfberatung unterbleibt, sind wir als Kindertageseinrichtung gesetzlich verpflichtet, hierüber das Gesundheitsamt zu benachrichtigen, das zu einer Beratung laden und bei Nichterscheinen ein Bußgeldverfahren veranlassen kann. Bitte versäumen Sie daher nicht, uns den Beratungsnachweis innerhalb der nächsten vier Wochen vorzulegen.</w:t>
      </w:r>
    </w:p>
    <w:p w14:paraId="2A34157C" w14:textId="77777777" w:rsidR="002A302D" w:rsidRDefault="002A302D" w:rsidP="002A302D">
      <w:pPr>
        <w:spacing w:line="276" w:lineRule="auto"/>
        <w:rPr>
          <w:rFonts w:ascii="Arial Narrow" w:hAnsi="Arial Narrow"/>
          <w:b/>
          <w:bCs/>
          <w:sz w:val="26"/>
          <w:szCs w:val="26"/>
        </w:rPr>
      </w:pPr>
    </w:p>
    <w:p w14:paraId="2B290420" w14:textId="77777777" w:rsidR="002A302D" w:rsidRPr="00C34370" w:rsidRDefault="002A302D" w:rsidP="002A302D">
      <w:pPr>
        <w:spacing w:line="276" w:lineRule="auto"/>
        <w:rPr>
          <w:rFonts w:ascii="Arial Narrow" w:hAnsi="Arial Narrow"/>
          <w:sz w:val="26"/>
          <w:szCs w:val="26"/>
        </w:rPr>
      </w:pPr>
      <w:r>
        <w:rPr>
          <w:rFonts w:ascii="Arial Narrow" w:hAnsi="Arial Narrow"/>
          <w:sz w:val="26"/>
          <w:szCs w:val="26"/>
          <w:u w:val="single"/>
        </w:rPr>
        <w:t>_____________________________</w:t>
      </w:r>
      <w:r>
        <w:rPr>
          <w:rFonts w:ascii="Arial Narrow" w:hAnsi="Arial Narrow"/>
          <w:sz w:val="26"/>
          <w:szCs w:val="26"/>
        </w:rPr>
        <w:tab/>
        <w:t xml:space="preserve">         </w:t>
      </w:r>
      <w:r>
        <w:rPr>
          <w:rFonts w:ascii="Arial Narrow" w:hAnsi="Arial Narrow"/>
          <w:sz w:val="26"/>
          <w:szCs w:val="26"/>
          <w:u w:val="single"/>
        </w:rPr>
        <w:tab/>
      </w:r>
      <w:r>
        <w:rPr>
          <w:rFonts w:ascii="Arial Narrow" w:hAnsi="Arial Narrow"/>
          <w:sz w:val="26"/>
          <w:szCs w:val="26"/>
          <w:u w:val="single"/>
        </w:rPr>
        <w:tab/>
      </w:r>
      <w:r>
        <w:rPr>
          <w:rFonts w:ascii="Arial Narrow" w:hAnsi="Arial Narrow"/>
          <w:sz w:val="26"/>
          <w:szCs w:val="26"/>
          <w:u w:val="single"/>
        </w:rPr>
        <w:tab/>
      </w:r>
      <w:r>
        <w:rPr>
          <w:rFonts w:ascii="Arial Narrow" w:hAnsi="Arial Narrow"/>
          <w:sz w:val="26"/>
          <w:szCs w:val="26"/>
          <w:u w:val="single"/>
        </w:rPr>
        <w:tab/>
      </w:r>
      <w:r>
        <w:rPr>
          <w:rFonts w:ascii="Arial Narrow" w:hAnsi="Arial Narrow"/>
          <w:sz w:val="26"/>
          <w:szCs w:val="26"/>
          <w:u w:val="single"/>
        </w:rPr>
        <w:tab/>
        <w:t>___________</w:t>
      </w:r>
      <w:r>
        <w:rPr>
          <w:rFonts w:ascii="Arial Narrow" w:hAnsi="Arial Narrow"/>
          <w:sz w:val="26"/>
          <w:szCs w:val="26"/>
        </w:rPr>
        <w:tab/>
      </w:r>
    </w:p>
    <w:p w14:paraId="5F8FFD70" w14:textId="77777777" w:rsidR="002A302D" w:rsidRPr="00C34370" w:rsidRDefault="002A302D" w:rsidP="002A302D">
      <w:pPr>
        <w:spacing w:line="240" w:lineRule="auto"/>
        <w:ind w:left="708" w:firstLine="708"/>
        <w:rPr>
          <w:rFonts w:ascii="Arial Narrow" w:hAnsi="Arial Narrow"/>
          <w:sz w:val="26"/>
          <w:szCs w:val="26"/>
        </w:rPr>
      </w:pPr>
      <w:r>
        <w:rPr>
          <w:rFonts w:ascii="Arial Narrow" w:hAnsi="Arial Narrow"/>
          <w:sz w:val="26"/>
          <w:szCs w:val="26"/>
        </w:rPr>
        <w:t>Ort, Datum                                                Unterschrift der Eltern</w:t>
      </w:r>
    </w:p>
    <w:p w14:paraId="31FAAC45" w14:textId="77777777" w:rsidR="002A302D" w:rsidRDefault="002A302D" w:rsidP="002A302D"/>
    <w:p w14:paraId="78AFB332" w14:textId="77777777" w:rsidR="00204546" w:rsidRDefault="00204546"/>
    <w:sectPr w:rsidR="0020454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02D"/>
    <w:rsid w:val="00204546"/>
    <w:rsid w:val="002A302D"/>
    <w:rsid w:val="006619C3"/>
    <w:rsid w:val="007B7105"/>
    <w:rsid w:val="00F542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D5600"/>
  <w15:chartTrackingRefBased/>
  <w15:docId w15:val="{2B0EA91A-6990-49CE-9898-E902BC7B0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A302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2704</Characters>
  <Application>Microsoft Office Word</Application>
  <DocSecurity>4</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Familie Gross</dc:creator>
  <cp:keywords/>
  <dc:description/>
  <cp:lastModifiedBy>Gerlinde Daferner</cp:lastModifiedBy>
  <cp:revision>2</cp:revision>
  <cp:lastPrinted>2019-06-11T21:07:00Z</cp:lastPrinted>
  <dcterms:created xsi:type="dcterms:W3CDTF">2020-01-27T07:36:00Z</dcterms:created>
  <dcterms:modified xsi:type="dcterms:W3CDTF">2020-01-27T07:36:00Z</dcterms:modified>
</cp:coreProperties>
</file>